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06272" w:rsidR="00306272" w:rsidP="00306272" w:rsidRDefault="00306272" w14:paraId="74B62AAE" w14:textId="77777777">
      <w:pPr>
        <w:spacing w:after="0" w:line="240" w:lineRule="auto"/>
        <w:ind w:left="-360"/>
        <w:jc w:val="center"/>
        <w:rPr>
          <w:rFonts w:ascii="Arial" w:hAnsi="Arial" w:eastAsia="Times New Roman" w:cs="Arial"/>
          <w:b/>
          <w:noProof/>
          <w:sz w:val="20"/>
          <w:szCs w:val="20"/>
        </w:rPr>
      </w:pPr>
    </w:p>
    <w:p w:rsidRPr="00306272" w:rsidR="00306272" w:rsidP="00306272" w:rsidRDefault="00306272" w14:paraId="0B905558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</w:rPr>
      </w:pPr>
      <w:r w:rsidRPr="00306272">
        <w:rPr>
          <w:rFonts w:ascii="Arial" w:hAnsi="Arial" w:eastAsia="Times New Roman" w:cs="Arial"/>
          <w:b/>
          <w:bCs/>
          <w:sz w:val="20"/>
          <w:szCs w:val="20"/>
        </w:rPr>
        <w:t>MALAYSIAN-GERMAN CHAMBER OF COMMERCE AND INDUSTRY</w:t>
      </w:r>
    </w:p>
    <w:p w:rsidRPr="00306272" w:rsidR="00306272" w:rsidP="00306272" w:rsidRDefault="00306272" w14:paraId="3B26B576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 xml:space="preserve"> </w:t>
      </w:r>
      <w:r w:rsidRPr="00B57F2A">
        <w:rPr>
          <w:rFonts w:ascii="Arial" w:hAnsi="Arial" w:eastAsia="SimSun" w:cs="Arial"/>
          <w:sz w:val="20"/>
          <w:szCs w:val="20"/>
          <w:lang w:eastAsia="zh-CN"/>
        </w:rPr>
        <w:t xml:space="preserve">Company No. </w:t>
      </w:r>
      <w:r w:rsidRPr="00306272">
        <w:rPr>
          <w:rFonts w:ascii="Arial" w:hAnsi="Arial" w:eastAsia="Times New Roman" w:cs="Arial"/>
          <w:sz w:val="20"/>
          <w:szCs w:val="20"/>
        </w:rPr>
        <w:t>198801003774 (171131-U)</w:t>
      </w:r>
    </w:p>
    <w:p w:rsidRPr="00306272" w:rsidR="00306272" w:rsidP="00306272" w:rsidRDefault="00306272" w14:paraId="570C34F3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B41994" w:rsidR="00306272" w:rsidP="00306272" w:rsidRDefault="00B41994" w14:paraId="0A583A41" w14:textId="0C5031F1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0"/>
          <w:szCs w:val="20"/>
          <w:u w:val="single"/>
        </w:rPr>
      </w:pPr>
      <w:r w:rsidRPr="00B41994">
        <w:rPr>
          <w:rFonts w:ascii="Arial" w:hAnsi="Arial" w:eastAsia="Times New Roman" w:cs="Arial"/>
          <w:b/>
          <w:bCs/>
          <w:sz w:val="20"/>
          <w:szCs w:val="20"/>
          <w:u w:val="single"/>
        </w:rPr>
        <w:t>Proxy Form</w:t>
      </w:r>
    </w:p>
    <w:p w:rsidRPr="00306272" w:rsidR="00306272" w:rsidP="00306272" w:rsidRDefault="00306272" w14:paraId="75BF7945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w:rsidRPr="00306272" w:rsidR="00306272" w:rsidP="00B3073C" w:rsidRDefault="00306272" w14:paraId="4D9C4BF8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="00692A07" w:rsidP="00B3073C" w:rsidRDefault="00306272" w14:paraId="0DA1F1AE" w14:textId="61A3C6A2">
      <w:pPr>
        <w:spacing w:after="0" w:line="480" w:lineRule="auto"/>
        <w:jc w:val="both"/>
        <w:rPr>
          <w:rFonts w:ascii="Arial" w:hAnsi="Arial" w:eastAsia="Times New Roman" w:cs="Arial"/>
          <w:sz w:val="20"/>
          <w:szCs w:val="20"/>
        </w:rPr>
      </w:pPr>
      <w:r w:rsidRPr="00306272">
        <w:rPr>
          <w:rFonts w:ascii="Arial" w:hAnsi="Arial" w:eastAsia="Times New Roman" w:cs="Arial"/>
          <w:sz w:val="20"/>
          <w:szCs w:val="20"/>
        </w:rPr>
        <w:t xml:space="preserve">I/We _________________________________ of _________________________________ being a member of </w:t>
      </w:r>
      <w:r>
        <w:rPr>
          <w:rFonts w:ascii="Arial" w:hAnsi="Arial" w:eastAsia="Times New Roman" w:cs="Arial"/>
          <w:sz w:val="20"/>
          <w:szCs w:val="20"/>
        </w:rPr>
        <w:t xml:space="preserve">the </w:t>
      </w:r>
      <w:r w:rsidRPr="00306272">
        <w:rPr>
          <w:rFonts w:ascii="Arial" w:hAnsi="Arial" w:eastAsia="Times New Roman" w:cs="Arial"/>
          <w:sz w:val="20"/>
          <w:szCs w:val="20"/>
        </w:rPr>
        <w:t>Malaysian-German Chamber of Commerce and Industry (hereinafter, referred to as the “Chamber”) hereby appoint _________________________________ of _________________________________ or failing him/</w:t>
      </w:r>
      <w:r w:rsidR="00202DC6">
        <w:rPr>
          <w:rFonts w:ascii="Arial" w:hAnsi="Arial" w:eastAsia="Times New Roman" w:cs="Arial"/>
          <w:sz w:val="20"/>
          <w:szCs w:val="20"/>
        </w:rPr>
        <w:t xml:space="preserve"> </w:t>
      </w:r>
      <w:r w:rsidRPr="00306272">
        <w:rPr>
          <w:rFonts w:ascii="Arial" w:hAnsi="Arial" w:eastAsia="Times New Roman" w:cs="Arial"/>
          <w:sz w:val="20"/>
          <w:szCs w:val="20"/>
        </w:rPr>
        <w:t>her _________________________________ of _________________________________ as my/</w:t>
      </w:r>
      <w:r w:rsidR="00202DC6">
        <w:rPr>
          <w:rFonts w:ascii="Arial" w:hAnsi="Arial" w:eastAsia="Times New Roman" w:cs="Arial"/>
          <w:sz w:val="20"/>
          <w:szCs w:val="20"/>
        </w:rPr>
        <w:t xml:space="preserve"> </w:t>
      </w:r>
      <w:r w:rsidRPr="00306272">
        <w:rPr>
          <w:rFonts w:ascii="Arial" w:hAnsi="Arial" w:eastAsia="Times New Roman" w:cs="Arial"/>
          <w:sz w:val="20"/>
          <w:szCs w:val="20"/>
        </w:rPr>
        <w:t xml:space="preserve">our 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>Proxy to vote on my/</w:t>
      </w:r>
      <w:r w:rsidR="00202DC6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>our behalf at the 202</w:t>
      </w:r>
      <w:r w:rsidR="00064A0C">
        <w:rPr>
          <w:rFonts w:ascii="Arial" w:hAnsi="Arial" w:eastAsia="Times New Roman" w:cs="Arial"/>
          <w:color w:val="000000"/>
          <w:sz w:val="20"/>
          <w:szCs w:val="20"/>
        </w:rPr>
        <w:t>5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 xml:space="preserve"> Annual General Meeting of the Chamber to be held at </w:t>
      </w:r>
      <w:r w:rsidR="006A02E0">
        <w:rPr>
          <w:rFonts w:ascii="Arial" w:hAnsi="Arial" w:eastAsia="Times New Roman" w:cs="Arial"/>
          <w:color w:val="000000"/>
          <w:sz w:val="20"/>
          <w:szCs w:val="20"/>
        </w:rPr>
        <w:t xml:space="preserve">Hyatt Centric </w:t>
      </w:r>
      <w:r w:rsidR="00064A0C">
        <w:rPr>
          <w:rFonts w:ascii="Arial" w:hAnsi="Arial" w:eastAsia="Times New Roman" w:cs="Arial"/>
          <w:color w:val="000000"/>
          <w:sz w:val="20"/>
          <w:szCs w:val="20"/>
        </w:rPr>
        <w:t>Hotel, Kuala Lumpur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 xml:space="preserve"> on Thursday, </w:t>
      </w:r>
      <w:r w:rsidR="006A02E0">
        <w:rPr>
          <w:rFonts w:ascii="Arial" w:hAnsi="Arial" w:eastAsia="Times New Roman" w:cs="Arial"/>
          <w:color w:val="000000"/>
          <w:sz w:val="20"/>
          <w:szCs w:val="20"/>
        </w:rPr>
        <w:t>26th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 xml:space="preserve"> June 202</w:t>
      </w:r>
      <w:r w:rsidR="006A02E0">
        <w:rPr>
          <w:rFonts w:ascii="Arial" w:hAnsi="Arial" w:eastAsia="Times New Roman" w:cs="Arial"/>
          <w:color w:val="000000"/>
          <w:sz w:val="20"/>
          <w:szCs w:val="20"/>
        </w:rPr>
        <w:t>5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 xml:space="preserve"> at</w:t>
      </w:r>
      <w:r w:rsidRPr="00306272">
        <w:rPr>
          <w:rFonts w:ascii="Arial" w:hAnsi="Arial" w:eastAsia="Times New Roman" w:cs="Arial"/>
          <w:sz w:val="20"/>
          <w:szCs w:val="20"/>
        </w:rPr>
        <w:t xml:space="preserve"> 4.00 p.m. and at any adjournment of such meeting.</w:t>
      </w:r>
    </w:p>
    <w:p w:rsidR="00692A07" w:rsidP="00692A07" w:rsidRDefault="00B53B75" w14:paraId="29165C80" w14:textId="736F84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  <w:r w:rsidRPr="67DFEC11" w:rsidR="00B53B75">
        <w:rPr>
          <w:rFonts w:ascii="Arial" w:hAnsi="Arial" w:eastAsia="Times New Roman" w:cs="Arial"/>
          <w:sz w:val="20"/>
          <w:szCs w:val="20"/>
        </w:rPr>
        <w:t>I/</w:t>
      </w:r>
      <w:r w:rsidRPr="67DFEC11" w:rsidR="00B53B75">
        <w:rPr>
          <w:rFonts w:ascii="Arial" w:hAnsi="Arial" w:eastAsia="Times New Roman" w:cs="Arial"/>
          <w:sz w:val="20"/>
          <w:szCs w:val="20"/>
        </w:rPr>
        <w:t xml:space="preserve"> </w:t>
      </w:r>
      <w:r w:rsidRPr="67DFEC11" w:rsidR="00B53B75">
        <w:rPr>
          <w:rFonts w:ascii="Arial" w:hAnsi="Arial" w:eastAsia="Times New Roman" w:cs="Arial"/>
          <w:sz w:val="20"/>
          <w:szCs w:val="20"/>
        </w:rPr>
        <w:t xml:space="preserve">We instruct the Proxy to vote on the resolutions set out in the Notice and </w:t>
      </w:r>
      <w:r w:rsidRPr="67DFEC11" w:rsidR="00B53B75">
        <w:rPr>
          <w:rFonts w:ascii="Arial" w:hAnsi="Arial" w:eastAsia="Times New Roman" w:cs="Arial"/>
          <w:sz w:val="20"/>
          <w:szCs w:val="20"/>
        </w:rPr>
        <w:t>summarise</w:t>
      </w:r>
      <w:r w:rsidRPr="67DFEC11" w:rsidR="00B53B75">
        <w:rPr>
          <w:rFonts w:ascii="Arial" w:hAnsi="Arial" w:eastAsia="Times New Roman" w:cs="Arial"/>
          <w:sz w:val="20"/>
          <w:szCs w:val="20"/>
        </w:rPr>
        <w:t xml:space="preserve"> below as </w:t>
      </w:r>
      <w:r w:rsidRPr="67DFEC11" w:rsidR="00B53B75">
        <w:rPr>
          <w:rFonts w:ascii="Arial" w:hAnsi="Arial" w:eastAsia="Times New Roman" w:cs="Arial"/>
          <w:sz w:val="20"/>
          <w:szCs w:val="20"/>
        </w:rPr>
        <w:t>indicated</w:t>
      </w:r>
      <w:r w:rsidRPr="67DFEC11" w:rsidR="00B53B75">
        <w:rPr>
          <w:rFonts w:ascii="Arial" w:hAnsi="Arial" w:eastAsia="Times New Roman" w:cs="Arial"/>
          <w:sz w:val="20"/>
          <w:szCs w:val="20"/>
        </w:rPr>
        <w:t xml:space="preserve"> (if no specific direction as to voting is given, the Proxy will vote or abstain at his</w:t>
      </w:r>
      <w:r w:rsidRPr="67DFEC11" w:rsidR="00B53B75">
        <w:rPr>
          <w:rFonts w:ascii="Arial" w:hAnsi="Arial" w:eastAsia="Times New Roman" w:cs="Arial"/>
          <w:sz w:val="20"/>
          <w:szCs w:val="20"/>
        </w:rPr>
        <w:t>/ her</w:t>
      </w:r>
      <w:r w:rsidRPr="67DFEC11" w:rsidR="00B53B75">
        <w:rPr>
          <w:rFonts w:ascii="Arial" w:hAnsi="Arial" w:eastAsia="Times New Roman" w:cs="Arial"/>
          <w:sz w:val="20"/>
          <w:szCs w:val="20"/>
        </w:rPr>
        <w:t xml:space="preserve"> discretion).</w:t>
      </w:r>
    </w:p>
    <w:p w:rsidR="00B53B75" w:rsidP="00692A07" w:rsidRDefault="00B53B75" w14:paraId="78904012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692A07" w:rsidR="00B53B75" w:rsidP="00692A07" w:rsidRDefault="00B53B75" w14:paraId="2AFC69AB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tbl>
      <w:tblPr>
        <w:tblW w:w="1028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693"/>
        <w:gridCol w:w="1081"/>
        <w:gridCol w:w="1081"/>
      </w:tblGrid>
      <w:tr w:rsidRPr="009C1D19" w:rsidR="00B53B75" w:rsidTr="67DFEC11" w14:paraId="01AA1921" w14:textId="77777777">
        <w:trPr>
          <w:trHeight w:val="118"/>
        </w:trPr>
        <w:tc>
          <w:tcPr>
            <w:tcW w:w="425" w:type="dxa"/>
            <w:tcMar/>
          </w:tcPr>
          <w:p w:rsidRPr="009E3656" w:rsidR="00B53B75" w:rsidP="67DFEC11" w:rsidRDefault="00B53B75" w14:paraId="184E0F95" w14:textId="77777777" w14:noSpellErr="1">
            <w:pPr>
              <w:pStyle w:val="TableParagraph"/>
              <w:spacing w:before="120" w:after="120"/>
              <w:ind w:left="8"/>
              <w:rPr>
                <w:b w:val="1"/>
                <w:bCs w:val="1"/>
                <w:sz w:val="20"/>
                <w:szCs w:val="20"/>
              </w:rPr>
            </w:pPr>
            <w:r w:rsidRPr="67DFEC11" w:rsidR="00B53B75">
              <w:rPr>
                <w:b w:val="1"/>
                <w:bCs w:val="1"/>
                <w:spacing w:val="-5"/>
                <w:sz w:val="20"/>
                <w:szCs w:val="20"/>
              </w:rPr>
              <w:t>No.</w:t>
            </w:r>
          </w:p>
        </w:tc>
        <w:tc>
          <w:tcPr>
            <w:tcW w:w="7693" w:type="dxa"/>
            <w:tcMar/>
          </w:tcPr>
          <w:p w:rsidRPr="009E3656" w:rsidR="00B53B75" w:rsidP="67DFEC11" w:rsidRDefault="00B53B75" w14:paraId="05B8985B" w14:textId="77777777" w14:noSpellErr="1">
            <w:pPr>
              <w:pStyle w:val="TableParagraph"/>
              <w:spacing w:before="120" w:after="120"/>
              <w:ind w:left="107"/>
              <w:jc w:val="left"/>
              <w:rPr>
                <w:b w:val="1"/>
                <w:bCs w:val="1"/>
                <w:sz w:val="20"/>
                <w:szCs w:val="20"/>
              </w:rPr>
            </w:pPr>
            <w:r w:rsidRPr="67DFEC11" w:rsidR="00B53B75">
              <w:rPr>
                <w:b w:val="1"/>
                <w:bCs w:val="1"/>
                <w:spacing w:val="-2"/>
                <w:sz w:val="20"/>
                <w:szCs w:val="20"/>
              </w:rPr>
              <w:t>Ordinary</w:t>
            </w:r>
            <w:r w:rsidRPr="67DFEC11" w:rsidR="00B53B75">
              <w:rPr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67DFEC11" w:rsidR="00B53B75">
              <w:rPr>
                <w:b w:val="1"/>
                <w:bCs w:val="1"/>
                <w:spacing w:val="-2"/>
                <w:sz w:val="20"/>
                <w:szCs w:val="20"/>
              </w:rPr>
              <w:t>Resolutions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15B98AA4" w14:textId="77777777" w14:noSpellErr="1">
            <w:pPr>
              <w:pStyle w:val="TableParagraph"/>
              <w:spacing w:before="120" w:after="120"/>
              <w:rPr>
                <w:b w:val="1"/>
                <w:bCs w:val="1"/>
                <w:sz w:val="20"/>
                <w:szCs w:val="20"/>
              </w:rPr>
            </w:pPr>
            <w:r w:rsidRPr="67DFEC11" w:rsidR="00B53B75">
              <w:rPr>
                <w:b w:val="1"/>
                <w:bCs w:val="1"/>
                <w:spacing w:val="-5"/>
                <w:sz w:val="20"/>
                <w:szCs w:val="20"/>
              </w:rPr>
              <w:t>FOR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0A08762C" w14:textId="77777777" w14:noSpellErr="1">
            <w:pPr>
              <w:pStyle w:val="TableParagraph"/>
              <w:spacing w:before="120" w:after="120"/>
              <w:ind w:right="6"/>
              <w:rPr>
                <w:b w:val="1"/>
                <w:bCs w:val="1"/>
                <w:sz w:val="20"/>
                <w:szCs w:val="20"/>
              </w:rPr>
            </w:pPr>
            <w:r w:rsidRPr="67DFEC11" w:rsidR="00B53B75">
              <w:rPr>
                <w:b w:val="1"/>
                <w:bCs w:val="1"/>
                <w:spacing w:val="-2"/>
                <w:sz w:val="20"/>
                <w:szCs w:val="20"/>
              </w:rPr>
              <w:t>AGAINST</w:t>
            </w:r>
          </w:p>
        </w:tc>
      </w:tr>
      <w:tr w:rsidRPr="009C1D19" w:rsidR="00B53B75" w:rsidTr="67DFEC11" w14:paraId="201822B3" w14:textId="77777777">
        <w:trPr>
          <w:trHeight w:val="137"/>
        </w:trPr>
        <w:tc>
          <w:tcPr>
            <w:tcW w:w="425" w:type="dxa"/>
            <w:tcMar/>
          </w:tcPr>
          <w:p w:rsidRPr="009E3656" w:rsidR="00B53B75" w:rsidP="67DFEC11" w:rsidRDefault="00B53B75" w14:paraId="7592C1BB" w14:textId="77777777" w14:noSpellErr="1">
            <w:pPr>
              <w:pStyle w:val="TableParagraph"/>
              <w:spacing w:before="120" w:after="120"/>
              <w:ind w:left="8" w:right="3"/>
              <w:rPr>
                <w:sz w:val="20"/>
                <w:szCs w:val="20"/>
              </w:rPr>
            </w:pPr>
            <w:r w:rsidRPr="67DFEC11" w:rsidR="00B53B7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693" w:type="dxa"/>
            <w:tcMar/>
          </w:tcPr>
          <w:p w:rsidRPr="009E3656" w:rsidR="00B53B75" w:rsidP="67DFEC11" w:rsidRDefault="00B53B75" w14:paraId="1A1F0C5D" w14:textId="5E250764" w14:noSpellErr="1">
            <w:pPr>
              <w:pStyle w:val="TableParagraph"/>
              <w:spacing w:before="120" w:after="120"/>
              <w:ind w:left="107"/>
              <w:jc w:val="left"/>
              <w:rPr>
                <w:sz w:val="20"/>
                <w:szCs w:val="20"/>
              </w:rPr>
            </w:pPr>
            <w:r w:rsidRPr="67DFEC11" w:rsidR="00B53B75">
              <w:rPr>
                <w:sz w:val="20"/>
                <w:szCs w:val="20"/>
              </w:rPr>
              <w:t>To receive the Treasurer’s Report</w:t>
            </w:r>
            <w:r w:rsidRPr="67DFEC11" w:rsidR="009E3656">
              <w:rPr>
                <w:sz w:val="20"/>
                <w:szCs w:val="20"/>
              </w:rPr>
              <w:t>.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3429FA51" w14:textId="77777777" w14:noSpellErr="1">
            <w:pPr>
              <w:pStyle w:val="TableParagraph"/>
              <w:spacing w:before="120" w:after="120"/>
              <w:ind w:left="0"/>
              <w:rPr>
                <w:sz w:val="20"/>
                <w:szCs w:val="20"/>
              </w:rPr>
            </w:pPr>
            <w:r w:rsidRPr="67DFEC11" w:rsidR="00B53B75">
              <w:rPr>
                <w:spacing w:val="-5"/>
                <w:sz w:val="20"/>
                <w:szCs w:val="20"/>
              </w:rPr>
              <w:t>N/A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4974C78C" w14:textId="77777777" w14:noSpellErr="1">
            <w:pPr>
              <w:pStyle w:val="TableParagraph"/>
              <w:spacing w:before="120" w:after="120"/>
              <w:ind w:left="0"/>
              <w:rPr>
                <w:sz w:val="20"/>
                <w:szCs w:val="20"/>
              </w:rPr>
            </w:pPr>
            <w:r w:rsidRPr="67DFEC11" w:rsidR="00B53B75">
              <w:rPr>
                <w:spacing w:val="-5"/>
                <w:sz w:val="20"/>
                <w:szCs w:val="20"/>
              </w:rPr>
              <w:t>N/A</w:t>
            </w:r>
          </w:p>
        </w:tc>
      </w:tr>
      <w:tr w:rsidRPr="009C1D19" w:rsidR="00B53B75" w:rsidTr="67DFEC11" w14:paraId="199D35FB" w14:textId="77777777">
        <w:trPr>
          <w:trHeight w:val="143"/>
        </w:trPr>
        <w:tc>
          <w:tcPr>
            <w:tcW w:w="425" w:type="dxa"/>
            <w:tcMar/>
          </w:tcPr>
          <w:p w:rsidRPr="009E3656" w:rsidR="00B53B75" w:rsidP="67DFEC11" w:rsidRDefault="00B53B75" w14:paraId="58F7E286" w14:textId="77777777" w14:noSpellErr="1">
            <w:pPr>
              <w:pStyle w:val="TableParagraph"/>
              <w:spacing w:before="120" w:after="120"/>
              <w:ind w:left="8" w:right="3"/>
              <w:rPr>
                <w:sz w:val="20"/>
                <w:szCs w:val="20"/>
              </w:rPr>
            </w:pPr>
            <w:r w:rsidRPr="67DFEC11" w:rsidR="00B53B7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693" w:type="dxa"/>
            <w:tcMar/>
          </w:tcPr>
          <w:p w:rsidRPr="009E3656" w:rsidR="00B53B75" w:rsidP="67DFEC11" w:rsidRDefault="00B53B75" w14:paraId="38BA230B" w14:textId="1FDF8CB0" w14:noSpellErr="1">
            <w:pPr>
              <w:pStyle w:val="TableParagraph"/>
              <w:spacing w:before="120" w:after="120"/>
              <w:ind w:left="107"/>
              <w:jc w:val="left"/>
              <w:rPr>
                <w:sz w:val="20"/>
                <w:szCs w:val="20"/>
              </w:rPr>
            </w:pPr>
            <w:r w:rsidRPr="67DFEC11" w:rsidR="00B53B75">
              <w:rPr>
                <w:sz w:val="20"/>
                <w:szCs w:val="20"/>
              </w:rPr>
              <w:t>To receive the Executive Directors’ Report</w:t>
            </w:r>
            <w:r w:rsidRPr="67DFEC11" w:rsidR="009E3656">
              <w:rPr>
                <w:sz w:val="20"/>
                <w:szCs w:val="20"/>
              </w:rPr>
              <w:t>.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57DF3A35" w14:textId="77777777" w14:noSpellErr="1">
            <w:pPr>
              <w:pStyle w:val="TableParagraph"/>
              <w:spacing w:before="120" w:after="120"/>
              <w:ind w:right="3"/>
              <w:rPr>
                <w:sz w:val="20"/>
                <w:szCs w:val="20"/>
              </w:rPr>
            </w:pPr>
            <w:r w:rsidRPr="67DFEC11" w:rsidR="00B53B75">
              <w:rPr>
                <w:spacing w:val="-5"/>
                <w:sz w:val="20"/>
                <w:szCs w:val="20"/>
              </w:rPr>
              <w:t>N/A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29C8DB99" w14:textId="77777777" w14:noSpellErr="1">
            <w:pPr>
              <w:pStyle w:val="TableParagraph"/>
              <w:spacing w:before="120" w:after="120"/>
              <w:ind w:right="5"/>
              <w:rPr>
                <w:sz w:val="20"/>
                <w:szCs w:val="20"/>
              </w:rPr>
            </w:pPr>
            <w:r w:rsidRPr="67DFEC11" w:rsidR="00B53B75">
              <w:rPr>
                <w:spacing w:val="-5"/>
                <w:sz w:val="20"/>
                <w:szCs w:val="20"/>
              </w:rPr>
              <w:t>N/A</w:t>
            </w:r>
          </w:p>
        </w:tc>
      </w:tr>
      <w:tr w:rsidRPr="009C1D19" w:rsidR="00B53B75" w:rsidTr="67DFEC11" w14:paraId="53ED1CA6" w14:textId="77777777">
        <w:trPr>
          <w:trHeight w:val="164"/>
        </w:trPr>
        <w:tc>
          <w:tcPr>
            <w:tcW w:w="425" w:type="dxa"/>
            <w:tcMar/>
          </w:tcPr>
          <w:p w:rsidRPr="009E3656" w:rsidR="00B53B75" w:rsidP="67DFEC11" w:rsidRDefault="00B53B75" w14:paraId="3F2C96E8" w14:textId="77777777" w14:noSpellErr="1">
            <w:pPr>
              <w:pStyle w:val="TableParagraph"/>
              <w:spacing w:before="120" w:after="120"/>
              <w:ind w:left="8" w:right="3"/>
              <w:rPr>
                <w:sz w:val="20"/>
                <w:szCs w:val="20"/>
              </w:rPr>
            </w:pPr>
            <w:r w:rsidRPr="67DFEC11" w:rsidR="00B53B7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693" w:type="dxa"/>
            <w:tcMar/>
          </w:tcPr>
          <w:p w:rsidRPr="009E3656" w:rsidR="00B53B75" w:rsidP="67DFEC11" w:rsidRDefault="009E3656" w14:paraId="2CA60904" w14:textId="004FDE46" w14:noSpellErr="1">
            <w:pPr>
              <w:pStyle w:val="TableParagraph"/>
              <w:spacing w:before="120" w:after="120"/>
              <w:ind w:left="107"/>
              <w:jc w:val="left"/>
              <w:rPr>
                <w:sz w:val="20"/>
                <w:szCs w:val="20"/>
              </w:rPr>
            </w:pPr>
            <w:r w:rsidRPr="67DFEC11" w:rsidR="009E3656">
              <w:rPr>
                <w:rFonts w:eastAsia="SimSun"/>
                <w:sz w:val="20"/>
                <w:szCs w:val="20"/>
                <w:lang w:eastAsia="zh-CN"/>
              </w:rPr>
              <w:t xml:space="preserve">To receive the Audited Financial Statements of the Chamber for the </w:t>
            </w:r>
            <w:r w:rsidRPr="67DFEC11" w:rsidR="009E3656">
              <w:rPr>
                <w:rFonts w:eastAsia="SimSun"/>
                <w:sz w:val="20"/>
                <w:szCs w:val="20"/>
                <w:lang w:eastAsia="zh-CN"/>
              </w:rPr>
              <w:t>financial year</w:t>
            </w:r>
            <w:r w:rsidRPr="67DFEC11" w:rsidR="009E3656">
              <w:rPr>
                <w:rFonts w:eastAsia="SimSun"/>
                <w:sz w:val="20"/>
                <w:szCs w:val="20"/>
                <w:lang w:eastAsia="zh-CN"/>
              </w:rPr>
              <w:t xml:space="preserve"> ended 31 December 2024 together with the Directors’ and Auditors’ Report.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78B4A3E9" w14:textId="77777777" w14:noSpellErr="1">
            <w:pPr>
              <w:pStyle w:val="TableParagraph"/>
              <w:spacing w:before="120" w:after="120"/>
              <w:ind w:right="3"/>
              <w:rPr>
                <w:sz w:val="20"/>
                <w:szCs w:val="20"/>
              </w:rPr>
            </w:pPr>
            <w:r w:rsidRPr="67DFEC11" w:rsidR="00B53B75">
              <w:rPr>
                <w:spacing w:val="-5"/>
                <w:sz w:val="20"/>
                <w:szCs w:val="20"/>
              </w:rPr>
              <w:t>N/A</w:t>
            </w:r>
          </w:p>
        </w:tc>
        <w:tc>
          <w:tcPr>
            <w:tcW w:w="1081" w:type="dxa"/>
            <w:tcMar/>
          </w:tcPr>
          <w:p w:rsidRPr="009E3656" w:rsidR="00B53B75" w:rsidP="67DFEC11" w:rsidRDefault="00B53B75" w14:paraId="45010A18" w14:textId="77777777" w14:noSpellErr="1">
            <w:pPr>
              <w:pStyle w:val="TableParagraph"/>
              <w:spacing w:before="120" w:after="120"/>
              <w:ind w:right="5"/>
              <w:rPr>
                <w:sz w:val="20"/>
                <w:szCs w:val="20"/>
              </w:rPr>
            </w:pPr>
            <w:r w:rsidRPr="67DFEC11" w:rsidR="00B53B75">
              <w:rPr>
                <w:spacing w:val="-5"/>
                <w:sz w:val="20"/>
                <w:szCs w:val="20"/>
              </w:rPr>
              <w:t>N/A</w:t>
            </w:r>
          </w:p>
        </w:tc>
      </w:tr>
      <w:tr w:rsidRPr="009C1D19" w:rsidR="00B53B75" w:rsidTr="67DFEC11" w14:paraId="266CC769" w14:textId="77777777">
        <w:trPr>
          <w:trHeight w:val="164"/>
        </w:trPr>
        <w:tc>
          <w:tcPr>
            <w:tcW w:w="425" w:type="dxa"/>
            <w:tcMar/>
          </w:tcPr>
          <w:p w:rsidRPr="009E3656" w:rsidR="00B53B75" w:rsidP="67DFEC11" w:rsidRDefault="00B53B75" w14:paraId="70DBC9DA" w14:textId="362AD393" w14:noSpellErr="1">
            <w:pPr>
              <w:pStyle w:val="TableParagraph"/>
              <w:spacing w:before="120" w:after="120"/>
              <w:ind w:left="8" w:right="3"/>
              <w:rPr>
                <w:spacing w:val="-10"/>
                <w:sz w:val="20"/>
                <w:szCs w:val="20"/>
              </w:rPr>
            </w:pPr>
            <w:r w:rsidRPr="67DFEC11" w:rsidR="00B53B7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693" w:type="dxa"/>
            <w:tcMar/>
          </w:tcPr>
          <w:p w:rsidRPr="009E3656" w:rsidR="00B53B75" w:rsidP="67DFEC11" w:rsidRDefault="009E3656" w14:paraId="3ADB98B9" w14:textId="73B2F98E" w14:noSpellErr="1">
            <w:pPr>
              <w:pStyle w:val="TableParagraph"/>
              <w:spacing w:before="120" w:after="120"/>
              <w:ind w:left="107"/>
              <w:jc w:val="left"/>
              <w:rPr>
                <w:sz w:val="20"/>
                <w:szCs w:val="20"/>
              </w:rPr>
            </w:pPr>
            <w:r w:rsidRPr="67DFEC11" w:rsidR="009E3656">
              <w:rPr>
                <w:rFonts w:eastAsia="SimSun"/>
                <w:sz w:val="20"/>
                <w:szCs w:val="20"/>
                <w:lang w:eastAsia="zh-CN"/>
              </w:rPr>
              <w:t>To elect/re-elect a new Board of Directors for the term of 2025 – 2027.</w:t>
            </w:r>
          </w:p>
        </w:tc>
        <w:tc>
          <w:tcPr>
            <w:tcW w:w="1081" w:type="dxa"/>
            <w:tcMar/>
          </w:tcPr>
          <w:p w:rsidRPr="009C1D19" w:rsidR="00B53B75" w:rsidP="00E0678F" w:rsidRDefault="00B53B75" w14:paraId="157EB3AC" w14:textId="77777777" w14:noSpellErr="1">
            <w:pPr>
              <w:pStyle w:val="TableParagraph"/>
              <w:spacing w:before="120" w:after="120"/>
              <w:ind w:right="3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081" w:type="dxa"/>
            <w:tcMar/>
          </w:tcPr>
          <w:p w:rsidRPr="009C1D19" w:rsidR="00B53B75" w:rsidP="00E0678F" w:rsidRDefault="00B53B75" w14:paraId="38BF8562" w14:textId="77777777" w14:noSpellErr="1">
            <w:pPr>
              <w:pStyle w:val="TableParagraph"/>
              <w:spacing w:before="120" w:after="120"/>
              <w:ind w:right="5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</w:tr>
      <w:tr w:rsidRPr="009C1D19" w:rsidR="00B53B75" w:rsidTr="67DFEC11" w14:paraId="7E473B49" w14:textId="77777777">
        <w:trPr>
          <w:trHeight w:val="203"/>
        </w:trPr>
        <w:tc>
          <w:tcPr>
            <w:tcW w:w="425" w:type="dxa"/>
            <w:tcMar/>
          </w:tcPr>
          <w:p w:rsidRPr="009E3656" w:rsidR="00B53B75" w:rsidP="67DFEC11" w:rsidRDefault="00B53B75" w14:paraId="4A70F5A7" w14:textId="3261344E" w14:noSpellErr="1">
            <w:pPr>
              <w:pStyle w:val="TableParagraph"/>
              <w:spacing w:before="120" w:after="120"/>
              <w:ind w:left="8" w:right="3"/>
              <w:rPr>
                <w:sz w:val="20"/>
                <w:szCs w:val="20"/>
              </w:rPr>
            </w:pPr>
            <w:r w:rsidRPr="67DFEC11" w:rsidR="00B53B7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693" w:type="dxa"/>
            <w:tcMar/>
          </w:tcPr>
          <w:p w:rsidRPr="009E3656" w:rsidR="00B53B75" w:rsidP="67DFEC11" w:rsidRDefault="00B53B75" w14:paraId="6A8CF057" w14:textId="272A6132">
            <w:pPr>
              <w:pStyle w:val="TableParagraph"/>
              <w:spacing w:before="120" w:after="120"/>
              <w:ind w:left="107"/>
              <w:jc w:val="left"/>
              <w:rPr>
                <w:sz w:val="20"/>
                <w:szCs w:val="20"/>
              </w:rPr>
            </w:pPr>
            <w:r w:rsidRPr="67DFEC11" w:rsidR="00B53B75">
              <w:rPr>
                <w:sz w:val="20"/>
                <w:szCs w:val="20"/>
              </w:rPr>
              <w:t xml:space="preserve">To re-appoint </w:t>
            </w:r>
            <w:r w:rsidRPr="67DFEC11" w:rsidR="00B53B75">
              <w:rPr>
                <w:sz w:val="20"/>
                <w:szCs w:val="20"/>
              </w:rPr>
              <w:t>Messrs</w:t>
            </w:r>
            <w:r w:rsidRPr="67DFEC11" w:rsidR="00B53B75">
              <w:rPr>
                <w:sz w:val="20"/>
                <w:szCs w:val="20"/>
              </w:rPr>
              <w:t xml:space="preserve"> </w:t>
            </w:r>
            <w:r w:rsidRPr="67DFEC11" w:rsidR="00B53B75">
              <w:rPr>
                <w:sz w:val="20"/>
                <w:szCs w:val="20"/>
              </w:rPr>
              <w:t>Forvis</w:t>
            </w:r>
            <w:r w:rsidRPr="67DFEC11" w:rsidR="00B53B75">
              <w:rPr>
                <w:sz w:val="20"/>
                <w:szCs w:val="20"/>
              </w:rPr>
              <w:t xml:space="preserve"> </w:t>
            </w:r>
            <w:r w:rsidRPr="67DFEC11" w:rsidR="00B53B75">
              <w:rPr>
                <w:sz w:val="20"/>
                <w:szCs w:val="20"/>
              </w:rPr>
              <w:t>Mazars</w:t>
            </w:r>
            <w:r w:rsidRPr="67DFEC11" w:rsidR="00B53B75">
              <w:rPr>
                <w:sz w:val="20"/>
                <w:szCs w:val="20"/>
              </w:rPr>
              <w:t xml:space="preserve"> PLT as Auditor of the Chamber and to </w:t>
            </w:r>
            <w:r w:rsidRPr="67DFEC11" w:rsidR="00B53B75">
              <w:rPr>
                <w:sz w:val="20"/>
                <w:szCs w:val="20"/>
              </w:rPr>
              <w:t>authorise</w:t>
            </w:r>
            <w:r w:rsidRPr="67DFEC11" w:rsidR="00B53B75">
              <w:rPr>
                <w:sz w:val="20"/>
                <w:szCs w:val="20"/>
              </w:rPr>
              <w:t xml:space="preserve"> the Directors to fix their </w:t>
            </w:r>
            <w:r w:rsidRPr="67DFEC11" w:rsidR="00B53B75">
              <w:rPr>
                <w:sz w:val="20"/>
                <w:szCs w:val="20"/>
              </w:rPr>
              <w:t>remuneration</w:t>
            </w:r>
            <w:r w:rsidRPr="67DFEC11" w:rsidR="009E3656">
              <w:rPr>
                <w:sz w:val="20"/>
                <w:szCs w:val="20"/>
              </w:rPr>
              <w:t>.</w:t>
            </w:r>
          </w:p>
        </w:tc>
        <w:tc>
          <w:tcPr>
            <w:tcW w:w="1081" w:type="dxa"/>
            <w:tcMar/>
          </w:tcPr>
          <w:p w:rsidRPr="009C1D19" w:rsidR="00B53B75" w:rsidP="00E0678F" w:rsidRDefault="00B53B75" w14:paraId="3BED304B" w14:textId="77777777" w14:noSpellErr="1">
            <w:pPr>
              <w:pStyle w:val="TableParagraph"/>
              <w:spacing w:before="120" w:after="12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Mar/>
          </w:tcPr>
          <w:p w:rsidRPr="009C1D19" w:rsidR="00B53B75" w:rsidP="00E0678F" w:rsidRDefault="00B53B75" w14:paraId="15627C4C" w14:textId="77777777" w14:noSpellErr="1">
            <w:pPr>
              <w:pStyle w:val="TableParagraph"/>
              <w:spacing w:before="120" w:after="12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2A07" w:rsidP="00306272" w:rsidRDefault="00692A07" w14:paraId="750829F2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306272" w:rsidR="00692A07" w:rsidP="00306272" w:rsidRDefault="00692A07" w14:paraId="5D1B3F4C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306272" w:rsidR="00306272" w:rsidP="00306272" w:rsidRDefault="00306272" w14:paraId="14E9C6AB" w14:textId="2115EC38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  <w:r w:rsidRPr="00306272">
        <w:rPr>
          <w:rFonts w:ascii="Arial" w:hAnsi="Arial" w:eastAsia="Times New Roman" w:cs="Arial"/>
          <w:sz w:val="20"/>
          <w:szCs w:val="20"/>
        </w:rPr>
        <w:t xml:space="preserve">Signed this on ______ day of _________________ </w:t>
      </w:r>
      <w:r w:rsidRPr="00306272">
        <w:rPr>
          <w:rFonts w:ascii="Arial" w:hAnsi="Arial" w:eastAsia="Times New Roman" w:cs="Arial"/>
          <w:color w:val="000000"/>
          <w:sz w:val="20"/>
          <w:szCs w:val="20"/>
        </w:rPr>
        <w:t>202</w:t>
      </w:r>
      <w:r w:rsidR="006A02E0">
        <w:rPr>
          <w:rFonts w:ascii="Arial" w:hAnsi="Arial" w:eastAsia="Times New Roman" w:cs="Arial"/>
          <w:color w:val="000000"/>
          <w:sz w:val="20"/>
          <w:szCs w:val="20"/>
        </w:rPr>
        <w:t>5</w:t>
      </w:r>
    </w:p>
    <w:p w:rsidRPr="00306272" w:rsidR="00306272" w:rsidP="00306272" w:rsidRDefault="00306272" w14:paraId="6777462A" w14:textId="77777777" w14:noSpellErr="1">
      <w:pPr>
        <w:spacing w:after="0" w:line="240" w:lineRule="auto"/>
        <w:jc w:val="both"/>
        <w:rPr>
          <w:rFonts w:ascii="Arial" w:hAnsi="Arial" w:eastAsia="Times New Roman" w:cs="Arial"/>
          <w:noProof/>
          <w:color w:val="000000"/>
          <w:sz w:val="20"/>
          <w:szCs w:val="20"/>
          <w:lang w:val="en-MY" w:eastAsia="en-MY"/>
        </w:rPr>
      </w:pPr>
    </w:p>
    <w:p w:rsidR="00306272" w:rsidP="00306272" w:rsidRDefault="00306272" w14:paraId="65CBB45D" w14:textId="77777777" w14:noSpellErr="1">
      <w:pPr>
        <w:spacing w:after="0" w:line="240" w:lineRule="auto"/>
        <w:jc w:val="both"/>
        <w:rPr>
          <w:rFonts w:ascii="Arial" w:hAnsi="Arial" w:eastAsia="Times New Roman" w:cs="Arial"/>
          <w:noProof/>
          <w:color w:val="000000"/>
          <w:sz w:val="20"/>
          <w:szCs w:val="20"/>
          <w:lang w:val="en-MY" w:eastAsia="en-MY"/>
        </w:rPr>
      </w:pPr>
    </w:p>
    <w:p w:rsidRPr="00306272" w:rsidR="00B53B75" w:rsidP="00306272" w:rsidRDefault="00B53B75" w14:paraId="32569012" w14:textId="77777777" w14:noSpellErr="1">
      <w:pPr>
        <w:spacing w:after="0" w:line="240" w:lineRule="auto"/>
        <w:jc w:val="both"/>
        <w:rPr>
          <w:rFonts w:ascii="Arial" w:hAnsi="Arial" w:eastAsia="Times New Roman" w:cs="Arial"/>
          <w:noProof/>
          <w:color w:val="000000"/>
          <w:sz w:val="20"/>
          <w:szCs w:val="20"/>
          <w:lang w:val="en-MY" w:eastAsia="en-MY"/>
        </w:rPr>
      </w:pPr>
    </w:p>
    <w:p w:rsidRPr="00306272" w:rsidR="00306272" w:rsidP="00306272" w:rsidRDefault="00306272" w14:paraId="52D33E55" w14:textId="77777777" w14:noSpellErr="1">
      <w:pPr>
        <w:spacing w:after="0" w:line="240" w:lineRule="auto"/>
        <w:jc w:val="both"/>
        <w:rPr>
          <w:rFonts w:ascii="Arial" w:hAnsi="Arial" w:eastAsia="Times New Roman" w:cs="Arial"/>
          <w:noProof/>
          <w:color w:val="000000"/>
          <w:sz w:val="20"/>
          <w:szCs w:val="20"/>
          <w:lang w:val="en-MY" w:eastAsia="en-MY"/>
        </w:rPr>
      </w:pPr>
    </w:p>
    <w:p w:rsidRPr="00306272" w:rsidR="00306272" w:rsidP="67DFEC11" w:rsidRDefault="00306272" w14:paraId="0008BD1F" w14:textId="77777777" w14:noSpellErr="1">
      <w:pPr>
        <w:pBdr>
          <w:top w:val="single" w:color="FF000000" w:sz="4" w:space="1"/>
        </w:pBdr>
        <w:spacing w:after="0" w:line="240" w:lineRule="auto"/>
        <w:ind w:right="6797"/>
        <w:jc w:val="both"/>
        <w:rPr>
          <w:rFonts w:ascii="Arial" w:hAnsi="Arial" w:eastAsia="Times New Roman" w:cs="Arial"/>
          <w:noProof/>
          <w:color w:val="000000"/>
          <w:sz w:val="20"/>
          <w:szCs w:val="20"/>
          <w:lang w:val="en-MY" w:eastAsia="en-MY"/>
        </w:rPr>
      </w:pPr>
    </w:p>
    <w:p w:rsidRPr="00306272" w:rsidR="00306272" w:rsidP="00306272" w:rsidRDefault="00306272" w14:paraId="6A4BFCF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  <w:r w:rsidRPr="00306272">
        <w:rPr>
          <w:rFonts w:ascii="Arial" w:hAnsi="Arial" w:eastAsia="Times New Roman" w:cs="Arial"/>
          <w:sz w:val="20"/>
          <w:szCs w:val="20"/>
        </w:rPr>
        <w:t>Signature</w:t>
      </w:r>
    </w:p>
    <w:p w:rsidRPr="00306272" w:rsidR="00306272" w:rsidP="00306272" w:rsidRDefault="00306272" w14:paraId="0033899D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692A07" w:rsidR="00F848A9" w:rsidP="67DFEC11" w:rsidRDefault="00F848A9" w14:paraId="6E015AE0" w14:textId="773C751E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yellow"/>
        </w:rPr>
      </w:pPr>
    </w:p>
    <w:p w:rsidR="67DFEC11" w:rsidP="67DFEC11" w:rsidRDefault="67DFEC11" w14:paraId="47CF29CA" w14:textId="509BCEAA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yellow"/>
        </w:rPr>
      </w:pPr>
    </w:p>
    <w:p w:rsidR="67DFEC11" w:rsidP="67DFEC11" w:rsidRDefault="67DFEC11" w14:paraId="5D06B680" w14:textId="65BB2B6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yellow"/>
        </w:rPr>
      </w:pPr>
    </w:p>
    <w:p w:rsidR="67DFEC11" w:rsidP="67DFEC11" w:rsidRDefault="67DFEC11" w14:paraId="14D1941E" w14:textId="4A8305FF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yellow"/>
        </w:rPr>
      </w:pPr>
    </w:p>
    <w:p w:rsidR="67DFEC11" w:rsidP="67DFEC11" w:rsidRDefault="67DFEC11" w14:paraId="2F9597F4" w14:textId="7E3C2FFB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yellow"/>
        </w:rPr>
      </w:pPr>
    </w:p>
    <w:p w:rsidRPr="00692A07" w:rsidR="00306272" w:rsidP="67DFEC11" w:rsidRDefault="00306272" w14:paraId="44C307C7" w14:textId="77777777" w14:noSpellErr="1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  <w:r w:rsidRPr="67DFEC11" w:rsidR="00306272">
        <w:rPr>
          <w:rFonts w:ascii="Arial" w:hAnsi="Arial" w:eastAsia="Times New Roman" w:cs="Arial"/>
          <w:sz w:val="20"/>
          <w:szCs w:val="20"/>
        </w:rPr>
        <w:t xml:space="preserve">NOTES: </w:t>
      </w:r>
    </w:p>
    <w:p w:rsidRPr="00B53B75" w:rsidR="00306272" w:rsidP="67DFEC11" w:rsidRDefault="00306272" w14:paraId="090E43E0" w14:textId="77777777" w14:noSpellErr="1">
      <w:pPr>
        <w:tabs>
          <w:tab w:val="left" w:pos="360"/>
        </w:tabs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B53B75" w:rsidR="00213E73" w:rsidP="67DFEC11" w:rsidRDefault="00306272" w14:paraId="328D6480" w14:textId="77777777" w14:noSpellErr="1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Arial" w:hAnsi="Arial" w:eastAsia="SimSun" w:cs="Arial"/>
          <w:sz w:val="20"/>
          <w:szCs w:val="20"/>
          <w:lang w:eastAsia="zh-CN"/>
        </w:rPr>
      </w:pPr>
      <w:r w:rsidRPr="67DFEC11" w:rsidR="00306272">
        <w:rPr>
          <w:rFonts w:ascii="Arial" w:hAnsi="Arial" w:eastAsia="SimSun" w:cs="Arial"/>
          <w:sz w:val="20"/>
          <w:szCs w:val="20"/>
          <w:lang w:eastAsia="zh-CN"/>
        </w:rPr>
        <w:t>A member of the Chamber is entitled to appoint a Proxy to attend and vote in his</w:t>
      </w:r>
      <w:r w:rsidRPr="67DFEC11" w:rsidR="00202DC6">
        <w:rPr>
          <w:rFonts w:ascii="Arial" w:hAnsi="Arial" w:eastAsia="SimSun" w:cs="Arial"/>
          <w:sz w:val="20"/>
          <w:szCs w:val="20"/>
          <w:lang w:eastAsia="zh-CN"/>
        </w:rPr>
        <w:t>/ her</w:t>
      </w:r>
      <w:r w:rsidRPr="67DFEC11" w:rsidR="00306272">
        <w:rPr>
          <w:rFonts w:ascii="Arial" w:hAnsi="Arial" w:eastAsia="SimSun" w:cs="Arial"/>
          <w:sz w:val="20"/>
          <w:szCs w:val="20"/>
          <w:lang w:eastAsia="zh-CN"/>
        </w:rPr>
        <w:t xml:space="preserve"> stead.</w:t>
      </w:r>
    </w:p>
    <w:p w:rsidRPr="00B53B75" w:rsidR="00306272" w:rsidP="67DFEC11" w:rsidRDefault="00213E73" w14:paraId="77D241FB" w14:textId="1F316165" w14:noSpellErr="1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Arial" w:hAnsi="Arial" w:eastAsia="SimSun" w:cs="Arial"/>
          <w:sz w:val="20"/>
          <w:szCs w:val="20"/>
          <w:lang w:eastAsia="zh-CN"/>
        </w:rPr>
      </w:pPr>
      <w:r w:rsidRPr="67DFEC11" w:rsidR="00213E73">
        <w:rPr>
          <w:rFonts w:ascii="Arial" w:hAnsi="Arial" w:eastAsia="SimSun" w:cs="Arial"/>
          <w:sz w:val="20"/>
          <w:szCs w:val="20"/>
          <w:lang w:eastAsia="zh-CN"/>
        </w:rPr>
        <w:t xml:space="preserve">Voting </w:t>
      </w:r>
      <w:r w:rsidRPr="67DFEC11" w:rsidR="00213E73">
        <w:rPr>
          <w:rFonts w:ascii="Arial" w:hAnsi="Arial" w:eastAsia="SimSun" w:cs="Arial"/>
          <w:sz w:val="20"/>
          <w:szCs w:val="20"/>
          <w:lang w:eastAsia="zh-CN"/>
        </w:rPr>
        <w:t xml:space="preserve">rights </w:t>
      </w:r>
      <w:r w:rsidRPr="67DFEC11" w:rsidR="00911AE7">
        <w:rPr>
          <w:rFonts w:ascii="Arial" w:hAnsi="Arial" w:eastAsia="SimSun" w:cs="Arial"/>
          <w:sz w:val="20"/>
          <w:szCs w:val="20"/>
          <w:lang w:eastAsia="zh-CN"/>
        </w:rPr>
        <w:t>Article 11</w:t>
      </w:r>
      <w:r w:rsidRPr="67DFEC11" w:rsidR="00213E73">
        <w:rPr>
          <w:rFonts w:ascii="Arial" w:hAnsi="Arial" w:eastAsia="SimSun" w:cs="Arial"/>
          <w:sz w:val="20"/>
          <w:szCs w:val="20"/>
          <w:lang w:eastAsia="zh-CN"/>
        </w:rPr>
        <w:t xml:space="preserve"> ‘A Corporate Member shall have the right to receive notice of all general and other meetings of MGCC, and through its Corpor</w:t>
      </w:r>
      <w:bookmarkStart w:name="_GoBack" w:id="0"/>
      <w:bookmarkEnd w:id="0"/>
      <w:r w:rsidRPr="67DFEC11" w:rsidR="00213E73">
        <w:rPr>
          <w:rFonts w:ascii="Arial" w:hAnsi="Arial" w:eastAsia="SimSun" w:cs="Arial"/>
          <w:sz w:val="20"/>
          <w:szCs w:val="20"/>
          <w:lang w:eastAsia="zh-CN"/>
        </w:rPr>
        <w:t xml:space="preserve">ate Nominees to attend the same, to vote, propose resolutions and move amendments </w:t>
      </w:r>
      <w:r w:rsidRPr="67DFEC11" w:rsidR="00213E73">
        <w:rPr>
          <w:rFonts w:ascii="Arial" w:hAnsi="Arial" w:eastAsia="SimSun" w:cs="Arial"/>
          <w:sz w:val="20"/>
          <w:szCs w:val="20"/>
          <w:lang w:eastAsia="zh-CN"/>
        </w:rPr>
        <w:t>thereat. The voting right can be transferred by written power of attorney to another Corporate Member. No Member can exercise more than five (5) voting rights including his own.</w:t>
      </w:r>
      <w:r w:rsidRPr="67DFEC11" w:rsidR="00911AE7">
        <w:rPr>
          <w:rFonts w:ascii="Arial" w:hAnsi="Arial" w:eastAsia="SimSun" w:cs="Arial"/>
          <w:sz w:val="20"/>
          <w:szCs w:val="20"/>
          <w:lang w:eastAsia="zh-CN"/>
        </w:rPr>
        <w:t xml:space="preserve"> </w:t>
      </w:r>
    </w:p>
    <w:p w:rsidRPr="00B53B75" w:rsidR="00306272" w:rsidP="67DFEC11" w:rsidRDefault="00306272" w14:paraId="583A21BC" w14:textId="5E10B3E4" w14:noSpellErr="1">
      <w:pPr>
        <w:numPr>
          <w:ilvl w:val="0"/>
          <w:numId w:val="12"/>
        </w:numPr>
        <w:spacing w:after="0" w:line="240" w:lineRule="auto"/>
        <w:ind w:left="284" w:right="135" w:hanging="284"/>
        <w:contextualSpacing/>
        <w:jc w:val="both"/>
        <w:rPr>
          <w:rFonts w:ascii="Arial" w:hAnsi="Arial" w:eastAsia="SimSun" w:cs="Arial"/>
          <w:sz w:val="20"/>
          <w:szCs w:val="20"/>
          <w:lang w:eastAsia="zh-CN"/>
        </w:rPr>
      </w:pPr>
      <w:r w:rsidRPr="67DFEC11" w:rsidR="00306272">
        <w:rPr>
          <w:rFonts w:ascii="Arial" w:hAnsi="Arial" w:eastAsia="SimSun" w:cs="Arial"/>
          <w:sz w:val="20"/>
          <w:szCs w:val="20"/>
          <w:lang w:eastAsia="zh-CN"/>
        </w:rPr>
        <w:t>An instrument appointing a Proxy must be deposited at the registered office of the Malaysian-German Chamber of Commerce and Industry, Lot 20-01, Letter Box No. 33, Level 20, Menara Hap Seng 2, Plaza Hap Seng, No.1 Jalan P. Ramlee</w:t>
      </w:r>
      <w:r w:rsidRPr="67DFEC11" w:rsidR="00306272">
        <w:rPr>
          <w:rFonts w:ascii="Arial" w:hAnsi="Arial" w:eastAsia="SimSun" w:cs="Arial"/>
          <w:sz w:val="20"/>
          <w:szCs w:val="20"/>
          <w:lang w:val="en-MY" w:eastAsia="zh-CN"/>
        </w:rPr>
        <w:t>, 50250 Kuala Lumpur</w:t>
      </w:r>
      <w:r w:rsidRPr="67DFEC11" w:rsidR="00306272">
        <w:rPr>
          <w:rFonts w:ascii="Arial" w:hAnsi="Arial" w:eastAsia="SimSun" w:cs="Arial"/>
          <w:sz w:val="20"/>
          <w:szCs w:val="20"/>
          <w:lang w:eastAsia="zh-CN"/>
        </w:rPr>
        <w:t>, not less than forty-eight (48) hours before the time appointed for the holding of the meeting, i</w:t>
      </w:r>
      <w:r w:rsidRPr="67DFEC11" w:rsidR="00306272">
        <w:rPr>
          <w:rFonts w:ascii="Arial" w:hAnsi="Arial" w:eastAsia="SimSun" w:cs="Arial"/>
          <w:sz w:val="20"/>
          <w:szCs w:val="20"/>
          <w:lang w:eastAsia="zh-CN"/>
        </w:rPr>
        <w:t xml:space="preserve">.e. by </w:t>
      </w:r>
      <w:r w:rsidRPr="67DFEC11" w:rsidR="003F0C94">
        <w:rPr>
          <w:rFonts w:ascii="Arial" w:hAnsi="Arial" w:eastAsia="SimSun" w:cs="Arial"/>
          <w:b w:val="1"/>
          <w:bCs w:val="1"/>
          <w:sz w:val="20"/>
          <w:szCs w:val="20"/>
          <w:lang w:eastAsia="zh-CN"/>
        </w:rPr>
        <w:t>2</w:t>
      </w:r>
      <w:r w:rsidRPr="67DFEC11" w:rsidR="005A6F30">
        <w:rPr>
          <w:rFonts w:ascii="Arial" w:hAnsi="Arial" w:eastAsia="SimSun" w:cs="Arial"/>
          <w:b w:val="1"/>
          <w:bCs w:val="1"/>
          <w:sz w:val="20"/>
          <w:szCs w:val="20"/>
          <w:lang w:eastAsia="zh-CN"/>
        </w:rPr>
        <w:t>4</w:t>
      </w:r>
      <w:r w:rsidRPr="67DFEC11" w:rsidR="00E258A8">
        <w:rPr>
          <w:rFonts w:ascii="Arial" w:hAnsi="Arial" w:eastAsia="SimSun" w:cs="Arial"/>
          <w:b w:val="1"/>
          <w:bCs w:val="1"/>
          <w:sz w:val="20"/>
          <w:szCs w:val="20"/>
          <w:vertAlign w:val="superscript"/>
          <w:lang w:eastAsia="zh-CN"/>
        </w:rPr>
        <w:t>th</w:t>
      </w:r>
      <w:r w:rsidRPr="67DFEC11" w:rsidR="00E258A8">
        <w:rPr>
          <w:rFonts w:ascii="Arial" w:hAnsi="Arial" w:eastAsia="SimSun" w:cs="Arial"/>
          <w:b w:val="1"/>
          <w:bCs w:val="1"/>
          <w:sz w:val="20"/>
          <w:szCs w:val="20"/>
          <w:lang w:eastAsia="zh-CN"/>
        </w:rPr>
        <w:t xml:space="preserve"> June</w:t>
      </w:r>
      <w:r w:rsidRPr="67DFEC11" w:rsidR="00306272">
        <w:rPr>
          <w:rFonts w:ascii="Arial" w:hAnsi="Arial" w:eastAsia="SimSun" w:cs="Arial"/>
          <w:b w:val="1"/>
          <w:bCs w:val="1"/>
          <w:sz w:val="20"/>
          <w:szCs w:val="20"/>
          <w:lang w:eastAsia="zh-CN"/>
        </w:rPr>
        <w:t xml:space="preserve"> </w:t>
      </w:r>
      <w:r w:rsidRPr="67DFEC11" w:rsidR="00692A07">
        <w:rPr>
          <w:rFonts w:ascii="Arial" w:hAnsi="Arial" w:eastAsia="SimSun" w:cs="Arial"/>
          <w:b w:val="1"/>
          <w:bCs w:val="1"/>
          <w:sz w:val="20"/>
          <w:szCs w:val="20"/>
          <w:lang w:eastAsia="zh-CN"/>
        </w:rPr>
        <w:t xml:space="preserve">2025 </w:t>
      </w:r>
      <w:r w:rsidRPr="67DFEC11" w:rsidR="00306272">
        <w:rPr>
          <w:rFonts w:ascii="Arial" w:hAnsi="Arial" w:eastAsia="SimSun" w:cs="Arial"/>
          <w:b w:val="1"/>
          <w:bCs w:val="1"/>
          <w:sz w:val="20"/>
          <w:szCs w:val="20"/>
          <w:lang w:eastAsia="zh-CN"/>
        </w:rPr>
        <w:t>at 4.00 p.m.</w:t>
      </w:r>
    </w:p>
    <w:sectPr w:rsidRPr="00B53B75" w:rsidR="00306272" w:rsidSect="00603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45" w:rsidP="002E45E5" w:rsidRDefault="005F4445" w14:paraId="64CC9135" w14:textId="77777777">
      <w:pPr>
        <w:spacing w:after="0" w:line="240" w:lineRule="auto"/>
      </w:pPr>
      <w:r>
        <w:separator/>
      </w:r>
    </w:p>
  </w:endnote>
  <w:endnote w:type="continuationSeparator" w:id="0">
    <w:p w:rsidR="005F4445" w:rsidP="002E45E5" w:rsidRDefault="005F4445" w14:paraId="67B205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fa Roti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F" w:rsidRDefault="005B200F" w14:paraId="7F5D03D1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12D25" w:rsidR="008606B6" w:rsidP="008606B6" w:rsidRDefault="008606B6" w14:paraId="737C8C6D" w14:textId="77777777">
    <w:pPr>
      <w:spacing w:after="0" w:line="240" w:lineRule="auto"/>
      <w:rPr>
        <w:rFonts w:ascii="Agfa Rotis Serif" w:hAnsi="Agfa Rotis Serif"/>
        <w:sz w:val="15"/>
        <w:szCs w:val="15"/>
      </w:rPr>
    </w:pPr>
    <w:r w:rsidRPr="00312D25">
      <w:rPr>
        <w:rFonts w:ascii="Agfa Rotis Serif" w:hAnsi="Agfa Rotis Serif"/>
        <w:b/>
        <w:sz w:val="15"/>
        <w:szCs w:val="15"/>
      </w:rPr>
      <w:t xml:space="preserve">Malaysian-German Chamber of Commerce and Industry </w:t>
    </w:r>
    <w:r w:rsidRPr="00312D25">
      <w:rPr>
        <w:rFonts w:ascii="Agfa Rotis Serif" w:hAnsi="Agfa Rotis Serif"/>
        <w:sz w:val="15"/>
        <w:szCs w:val="15"/>
      </w:rPr>
      <w:t>(171131-U)</w:t>
    </w:r>
  </w:p>
  <w:p w:rsidRPr="00312D25" w:rsidR="008606B6" w:rsidP="008606B6" w:rsidRDefault="008606B6" w14:paraId="0C242AD6" w14:textId="77777777">
    <w:pPr>
      <w:spacing w:after="0" w:line="240" w:lineRule="auto"/>
      <w:rPr>
        <w:rFonts w:ascii="Agfa Rotis Serif" w:hAnsi="Agfa Rotis Serif"/>
        <w:sz w:val="15"/>
        <w:szCs w:val="15"/>
      </w:rPr>
    </w:pPr>
    <w:r w:rsidRPr="00312D25">
      <w:rPr>
        <w:rFonts w:ascii="Agfa Rotis Serif" w:hAnsi="Agfa Rotis Serif"/>
        <w:sz w:val="15"/>
        <w:szCs w:val="15"/>
      </w:rPr>
      <w:t>Level 20-01, Letter Box No. 33, Level 20 | Menara Hap Seng 2, Plaza Hap Seng | No. 1 Jalan P. Ramlee | 50250 Kuala Lumpur, Malaysia</w:t>
    </w:r>
    <w:r>
      <w:rPr>
        <w:rFonts w:ascii="Agfa Rotis Serif" w:hAnsi="Agfa Rotis Serif"/>
        <w:sz w:val="15"/>
        <w:szCs w:val="15"/>
      </w:rPr>
      <w:t>.</w:t>
    </w:r>
    <w:r w:rsidRPr="00312D25">
      <w:rPr>
        <w:rFonts w:ascii="Agfa Rotis Serif" w:hAnsi="Agfa Rotis Serif"/>
        <w:sz w:val="15"/>
        <w:szCs w:val="15"/>
      </w:rPr>
      <w:t xml:space="preserve"> </w:t>
    </w:r>
  </w:p>
  <w:p w:rsidRPr="00312D25" w:rsidR="008606B6" w:rsidP="008606B6" w:rsidRDefault="008606B6" w14:paraId="628C0352" w14:textId="77777777">
    <w:pPr>
      <w:spacing w:after="0" w:line="240" w:lineRule="auto"/>
      <w:rPr>
        <w:rFonts w:ascii="Agfa Rotis Serif" w:hAnsi="Agfa Rotis Serif"/>
        <w:sz w:val="14"/>
        <w:lang w:val="de-DE"/>
      </w:rPr>
    </w:pPr>
    <w:r w:rsidRPr="00312D25">
      <w:rPr>
        <w:rFonts w:ascii="Agfa Rotis Serif" w:hAnsi="Agfa Rotis Serif"/>
        <w:sz w:val="15"/>
        <w:szCs w:val="15"/>
        <w:lang w:val="de-DE"/>
      </w:rPr>
      <w:t xml:space="preserve">Tel: +60-3-92351800 | Fax: +60-3-92351930 | E-Mail: </w:t>
    </w:r>
    <w:hyperlink w:history="1" r:id="rId1">
      <w:r w:rsidRPr="00312D25">
        <w:rPr>
          <w:rStyle w:val="Hyperlink"/>
          <w:rFonts w:ascii="Agfa Rotis Serif" w:hAnsi="Agfa Rotis Serif"/>
          <w:sz w:val="15"/>
          <w:szCs w:val="15"/>
          <w:lang w:val="de-DE"/>
        </w:rPr>
        <w:t>info@malaysia.ahk.de</w:t>
      </w:r>
    </w:hyperlink>
    <w:r w:rsidRPr="00312D25">
      <w:rPr>
        <w:rFonts w:ascii="Agfa Rotis Serif" w:hAnsi="Agfa Rotis Serif"/>
        <w:sz w:val="15"/>
        <w:szCs w:val="15"/>
        <w:lang w:val="de-DE"/>
      </w:rPr>
      <w:t xml:space="preserve"> | Internet: </w:t>
    </w:r>
    <w:hyperlink w:history="1" r:id="rId2">
      <w:r w:rsidRPr="002004F5">
        <w:rPr>
          <w:rStyle w:val="Hyperlink"/>
          <w:rFonts w:ascii="Agfa Rotis Serif" w:hAnsi="Agfa Rotis Serif"/>
          <w:sz w:val="15"/>
          <w:szCs w:val="15"/>
          <w:lang w:val="de-DE"/>
        </w:rPr>
        <w:t>www.malaysia.ahk.de</w:t>
      </w:r>
    </w:hyperlink>
    <w:r>
      <w:rPr>
        <w:rFonts w:ascii="Agfa Rotis Serif" w:hAnsi="Agfa Rotis Serif"/>
        <w:sz w:val="16"/>
        <w:lang w:val="de-DE"/>
      </w:rPr>
      <w:t xml:space="preserve"> </w:t>
    </w:r>
  </w:p>
  <w:p w:rsidRPr="005B200F" w:rsidR="005B200F" w:rsidP="005B200F" w:rsidRDefault="005B200F" w14:paraId="306847BE" w14:textId="77777777">
    <w:pPr>
      <w:spacing w:after="0" w:line="240" w:lineRule="auto"/>
      <w:rPr>
        <w:rFonts w:ascii="Agfa Rotis Serif" w:hAnsi="Agfa Rotis Serif"/>
        <w:color w:val="767171"/>
        <w:sz w:val="14"/>
      </w:rPr>
    </w:pPr>
    <w:r w:rsidRPr="005B200F">
      <w:rPr>
        <w:rFonts w:ascii="Agfa Rotis Serif" w:hAnsi="Agfa Rotis Serif"/>
        <w:color w:val="767171"/>
        <w:sz w:val="14"/>
      </w:rPr>
      <w:t>The AHK Network is supported by the Federal Ministry of Economic Affairs and Climate Action based on a resolution of the German Bundestag</w:t>
    </w:r>
  </w:p>
  <w:p w:rsidRPr="005B200F" w:rsidR="00312D25" w:rsidP="005B200F" w:rsidRDefault="005B200F" w14:paraId="2B950D88" w14:textId="77777777">
    <w:pPr>
      <w:spacing w:after="0" w:line="240" w:lineRule="auto"/>
      <w:rPr>
        <w:rFonts w:ascii="Agfa Rotis Serif" w:hAnsi="Agfa Rotis Serif"/>
        <w:color w:val="767171"/>
        <w:sz w:val="14"/>
        <w:lang w:val="de-DE"/>
      </w:rPr>
    </w:pPr>
    <w:r w:rsidRPr="005B200F">
      <w:rPr>
        <w:rFonts w:ascii="Agfa Rotis Serif" w:hAnsi="Agfa Rotis Serif"/>
        <w:color w:val="767171"/>
        <w:sz w:val="14"/>
        <w:lang w:val="de-DE"/>
      </w:rPr>
      <w:t>Das AHK-Netz wird vom Bundesministerium für Wirtschaft und Klimaschutz aufgrund eines Beschlusses des Deutschen Bundestages gefördert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F" w:rsidRDefault="005B200F" w14:paraId="713E34AE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45" w:rsidP="002E45E5" w:rsidRDefault="005F4445" w14:paraId="5C931A2B" w14:textId="77777777">
      <w:pPr>
        <w:spacing w:after="0" w:line="240" w:lineRule="auto"/>
      </w:pPr>
      <w:r>
        <w:separator/>
      </w:r>
    </w:p>
  </w:footnote>
  <w:footnote w:type="continuationSeparator" w:id="0">
    <w:p w:rsidR="005F4445" w:rsidP="002E45E5" w:rsidRDefault="005F4445" w14:paraId="01A01F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F" w:rsidRDefault="005B200F" w14:paraId="6C51F171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45101" w:rsidP="005F7941" w:rsidRDefault="00306272" w14:paraId="3CEAE705" w14:textId="77777777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7728" behindDoc="1" locked="0" layoutInCell="1" allowOverlap="1" wp14:anchorId="5989925F" wp14:editId="0DC1345C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642235" cy="55816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101" w:rsidRDefault="00E45101" w14:paraId="1AAD7380" w14:textId="77777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F" w:rsidRDefault="005B200F" w14:paraId="55E1FC3A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D6E8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60721B"/>
    <w:multiLevelType w:val="multilevel"/>
    <w:tmpl w:val="76DE9C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46E720D"/>
    <w:multiLevelType w:val="hybridMultilevel"/>
    <w:tmpl w:val="BC7C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C7B82"/>
    <w:multiLevelType w:val="hybridMultilevel"/>
    <w:tmpl w:val="C7323F9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160B0"/>
    <w:multiLevelType w:val="hybridMultilevel"/>
    <w:tmpl w:val="BB4E31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501C"/>
    <w:multiLevelType w:val="hybridMultilevel"/>
    <w:tmpl w:val="8542BE2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EF050F"/>
    <w:multiLevelType w:val="hybridMultilevel"/>
    <w:tmpl w:val="DA8A7E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B2153"/>
    <w:multiLevelType w:val="multilevel"/>
    <w:tmpl w:val="33084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6177392"/>
    <w:multiLevelType w:val="hybridMultilevel"/>
    <w:tmpl w:val="03AAD6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32A82"/>
    <w:multiLevelType w:val="hybridMultilevel"/>
    <w:tmpl w:val="AB9E56EC"/>
    <w:lvl w:ilvl="0" w:tplc="1C42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3003"/>
    <w:multiLevelType w:val="hybridMultilevel"/>
    <w:tmpl w:val="2C786C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8FB"/>
    <w:multiLevelType w:val="multilevel"/>
    <w:tmpl w:val="08AAAF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1E"/>
    <w:rsid w:val="00064A0C"/>
    <w:rsid w:val="00065C77"/>
    <w:rsid w:val="0006608A"/>
    <w:rsid w:val="00071389"/>
    <w:rsid w:val="00083F9D"/>
    <w:rsid w:val="000A0FCE"/>
    <w:rsid w:val="00134BD3"/>
    <w:rsid w:val="00155648"/>
    <w:rsid w:val="00176756"/>
    <w:rsid w:val="0018668F"/>
    <w:rsid w:val="00191C27"/>
    <w:rsid w:val="00193620"/>
    <w:rsid w:val="00194C94"/>
    <w:rsid w:val="00197D0C"/>
    <w:rsid w:val="001A1C25"/>
    <w:rsid w:val="001C0F4F"/>
    <w:rsid w:val="001D2AD6"/>
    <w:rsid w:val="00202DC6"/>
    <w:rsid w:val="00213E73"/>
    <w:rsid w:val="002152C4"/>
    <w:rsid w:val="00216DDA"/>
    <w:rsid w:val="002422FD"/>
    <w:rsid w:val="00254030"/>
    <w:rsid w:val="00255AC3"/>
    <w:rsid w:val="002B0EFE"/>
    <w:rsid w:val="002C3741"/>
    <w:rsid w:val="002C7F2F"/>
    <w:rsid w:val="002E45E5"/>
    <w:rsid w:val="0030339E"/>
    <w:rsid w:val="00303A5C"/>
    <w:rsid w:val="00306272"/>
    <w:rsid w:val="00312D25"/>
    <w:rsid w:val="00355522"/>
    <w:rsid w:val="00370EA0"/>
    <w:rsid w:val="003846B7"/>
    <w:rsid w:val="003918A0"/>
    <w:rsid w:val="003A11C1"/>
    <w:rsid w:val="003A511E"/>
    <w:rsid w:val="003C476B"/>
    <w:rsid w:val="003F0C94"/>
    <w:rsid w:val="003F5C9C"/>
    <w:rsid w:val="00424CF8"/>
    <w:rsid w:val="00454AE1"/>
    <w:rsid w:val="00455DFD"/>
    <w:rsid w:val="0046615D"/>
    <w:rsid w:val="004808ED"/>
    <w:rsid w:val="004B4CCD"/>
    <w:rsid w:val="0057419C"/>
    <w:rsid w:val="005A6F30"/>
    <w:rsid w:val="005A79BE"/>
    <w:rsid w:val="005B1B58"/>
    <w:rsid w:val="005B200F"/>
    <w:rsid w:val="005B2889"/>
    <w:rsid w:val="005B6FA4"/>
    <w:rsid w:val="005C78E6"/>
    <w:rsid w:val="005D33EC"/>
    <w:rsid w:val="005F4445"/>
    <w:rsid w:val="005F7941"/>
    <w:rsid w:val="0060321D"/>
    <w:rsid w:val="00615D85"/>
    <w:rsid w:val="006421FD"/>
    <w:rsid w:val="0064325B"/>
    <w:rsid w:val="0065529C"/>
    <w:rsid w:val="006651DE"/>
    <w:rsid w:val="00680571"/>
    <w:rsid w:val="00692A07"/>
    <w:rsid w:val="006A02E0"/>
    <w:rsid w:val="00727FAF"/>
    <w:rsid w:val="0075334C"/>
    <w:rsid w:val="00757499"/>
    <w:rsid w:val="007627F3"/>
    <w:rsid w:val="00783E8A"/>
    <w:rsid w:val="007A11F3"/>
    <w:rsid w:val="007A2CD7"/>
    <w:rsid w:val="007C2F30"/>
    <w:rsid w:val="007D072A"/>
    <w:rsid w:val="007E2007"/>
    <w:rsid w:val="00800613"/>
    <w:rsid w:val="00812D70"/>
    <w:rsid w:val="008228E2"/>
    <w:rsid w:val="00832688"/>
    <w:rsid w:val="0084442E"/>
    <w:rsid w:val="0085099B"/>
    <w:rsid w:val="008606B6"/>
    <w:rsid w:val="00883B06"/>
    <w:rsid w:val="008A613E"/>
    <w:rsid w:val="008B2638"/>
    <w:rsid w:val="008E2E93"/>
    <w:rsid w:val="008F1208"/>
    <w:rsid w:val="008F18F8"/>
    <w:rsid w:val="00911AE7"/>
    <w:rsid w:val="00923A2F"/>
    <w:rsid w:val="009328E6"/>
    <w:rsid w:val="009E3656"/>
    <w:rsid w:val="009F1364"/>
    <w:rsid w:val="00A10B46"/>
    <w:rsid w:val="00A631CC"/>
    <w:rsid w:val="00A74757"/>
    <w:rsid w:val="00AA6EEC"/>
    <w:rsid w:val="00AD14E6"/>
    <w:rsid w:val="00B04715"/>
    <w:rsid w:val="00B06E9B"/>
    <w:rsid w:val="00B24216"/>
    <w:rsid w:val="00B3073C"/>
    <w:rsid w:val="00B41994"/>
    <w:rsid w:val="00B52739"/>
    <w:rsid w:val="00B53B75"/>
    <w:rsid w:val="00BA0F1A"/>
    <w:rsid w:val="00BD2C56"/>
    <w:rsid w:val="00BD3422"/>
    <w:rsid w:val="00BF00DE"/>
    <w:rsid w:val="00BF4C1E"/>
    <w:rsid w:val="00C05696"/>
    <w:rsid w:val="00C35841"/>
    <w:rsid w:val="00C8549F"/>
    <w:rsid w:val="00CC1FDF"/>
    <w:rsid w:val="00CD0985"/>
    <w:rsid w:val="00CE144F"/>
    <w:rsid w:val="00D17572"/>
    <w:rsid w:val="00D235C6"/>
    <w:rsid w:val="00D2655D"/>
    <w:rsid w:val="00D77BA8"/>
    <w:rsid w:val="00D83B4E"/>
    <w:rsid w:val="00D976B5"/>
    <w:rsid w:val="00D97837"/>
    <w:rsid w:val="00DA3979"/>
    <w:rsid w:val="00DB0C2C"/>
    <w:rsid w:val="00DC2011"/>
    <w:rsid w:val="00DE54E4"/>
    <w:rsid w:val="00DF4C33"/>
    <w:rsid w:val="00DF5914"/>
    <w:rsid w:val="00DF6B5D"/>
    <w:rsid w:val="00E1039C"/>
    <w:rsid w:val="00E16348"/>
    <w:rsid w:val="00E16D7B"/>
    <w:rsid w:val="00E258A8"/>
    <w:rsid w:val="00E31835"/>
    <w:rsid w:val="00E45101"/>
    <w:rsid w:val="00EB7E6B"/>
    <w:rsid w:val="00F1578C"/>
    <w:rsid w:val="00F20D40"/>
    <w:rsid w:val="00F278D5"/>
    <w:rsid w:val="00F35C85"/>
    <w:rsid w:val="00F848A9"/>
    <w:rsid w:val="00FA422F"/>
    <w:rsid w:val="00FA69C4"/>
    <w:rsid w:val="00FB2658"/>
    <w:rsid w:val="1A81546B"/>
    <w:rsid w:val="67DFE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FD659"/>
  <w15:chartTrackingRefBased/>
  <w15:docId w15:val="{2EB0A378-D74F-48D4-B648-D888D582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339E"/>
    <w:pPr>
      <w:spacing w:after="200" w:line="276" w:lineRule="auto"/>
    </w:pPr>
    <w:rPr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16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D7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6D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D7B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16D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16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5E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2E45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5E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2E45E5"/>
    <w:rPr>
      <w:sz w:val="22"/>
      <w:szCs w:val="22"/>
    </w:rPr>
  </w:style>
  <w:style w:type="paragraph" w:styleId="BodyText2">
    <w:name w:val="Body Text 2"/>
    <w:basedOn w:val="Normal"/>
    <w:link w:val="BodyText2Char"/>
    <w:semiHidden/>
    <w:rsid w:val="005C78E6"/>
    <w:pPr>
      <w:spacing w:after="0" w:line="240" w:lineRule="auto"/>
      <w:jc w:val="both"/>
    </w:pPr>
    <w:rPr>
      <w:rFonts w:ascii="Times New Roman" w:hAnsi="Times New Roman" w:eastAsia="Times New Roman"/>
      <w:bCs/>
      <w:szCs w:val="24"/>
    </w:rPr>
  </w:style>
  <w:style w:type="character" w:styleId="BodyText2Char" w:customStyle="1">
    <w:name w:val="Body Text 2 Char"/>
    <w:link w:val="BodyText2"/>
    <w:semiHidden/>
    <w:rsid w:val="005C78E6"/>
    <w:rPr>
      <w:rFonts w:ascii="Times New Roman" w:hAnsi="Times New Roman" w:eastAsia="Times New Roman"/>
      <w:bCs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5C78E6"/>
    <w:pPr>
      <w:spacing w:after="0" w:line="240" w:lineRule="auto"/>
      <w:ind w:left="360" w:hanging="360"/>
      <w:jc w:val="both"/>
    </w:pPr>
    <w:rPr>
      <w:rFonts w:ascii="Times New Roman" w:hAnsi="Times New Roman" w:eastAsia="Times New Roman"/>
      <w:bCs/>
      <w:szCs w:val="24"/>
    </w:rPr>
  </w:style>
  <w:style w:type="character" w:styleId="BodyTextIndentChar" w:customStyle="1">
    <w:name w:val="Body Text Indent Char"/>
    <w:link w:val="BodyTextIndent"/>
    <w:semiHidden/>
    <w:rsid w:val="005C78E6"/>
    <w:rPr>
      <w:rFonts w:ascii="Times New Roman" w:hAnsi="Times New Roman" w:eastAsia="Times New Roman"/>
      <w:b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C78E6"/>
    <w:pPr>
      <w:ind w:left="720"/>
      <w:contextualSpacing/>
    </w:pPr>
  </w:style>
  <w:style w:type="character" w:styleId="Hyperlink">
    <w:name w:val="Hyperlink"/>
    <w:uiPriority w:val="99"/>
    <w:unhideWhenUsed/>
    <w:rsid w:val="00312D25"/>
    <w:rPr>
      <w:color w:val="0563C1"/>
      <w:u w:val="single"/>
    </w:rPr>
  </w:style>
  <w:style w:type="character" w:styleId="ui-provider" w:customStyle="1">
    <w:name w:val="ui-provider"/>
    <w:basedOn w:val="DefaultParagraphFont"/>
    <w:rsid w:val="0018668F"/>
  </w:style>
  <w:style w:type="paragraph" w:styleId="TableParagraph" w:customStyle="1">
    <w:name w:val="Table Paragraph"/>
    <w:basedOn w:val="Normal"/>
    <w:uiPriority w:val="1"/>
    <w:qFormat/>
    <w:rsid w:val="00B53B75"/>
    <w:pPr>
      <w:widowControl w:val="0"/>
      <w:autoSpaceDE w:val="0"/>
      <w:autoSpaceDN w:val="0"/>
      <w:spacing w:before="97" w:after="0" w:line="240" w:lineRule="auto"/>
      <w:ind w:left="7"/>
      <w:jc w:val="center"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laysia.ahk.de" TargetMode="External"/><Relationship Id="rId1" Type="http://schemas.openxmlformats.org/officeDocument/2006/relationships/hyperlink" Target="mailto:info@malaysia.ahk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2925163DFDD48AF49DAB5BE02858C" ma:contentTypeVersion="82" ma:contentTypeDescription="Create a new document." ma:contentTypeScope="" ma:versionID="7680aed6b12682c63ca8b466b8e040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829977ec4cb05579f3834c14879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5896-B68A-46B8-B19D-1B3B62F19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A71A9-35ED-40C2-AA25-34F9E168D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8AF7D-1C75-4738-AB07-3979877E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75301C-5B49-48B7-B950-AB908B1186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lianlin.ti@malaysia.ahk.de</dc:creator>
  <keywords/>
  <dc:description/>
  <lastModifiedBy>Natasya Falina Abd Rahman</lastModifiedBy>
  <revision>9</revision>
  <lastPrinted>2025-04-23T01:54:00.0000000Z</lastPrinted>
  <dcterms:created xsi:type="dcterms:W3CDTF">2025-05-13T08:21:00.0000000Z</dcterms:created>
  <dcterms:modified xsi:type="dcterms:W3CDTF">2025-05-22T00:01:50.5849501Z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a4fad0bd04487dc77ed9ffc8419b3e91922b69a8ae8fd328557c975a455f06ad</vt:lpwstr>
  </property>
  <property fmtid="{D5CDD505-2E9C-101B-9397-08002B2CF9AE}" pid="3" name="ContentTypeId">
    <vt:lpwstr>0x010100A8C2925163DFDD48AF49DAB5BE02858C</vt:lpwstr>
  </property>
</Properties>
</file>