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Jobseeker Profile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Looking for Job as (Job designation + Industry – multiple possible):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Senior Financial Controller / Business Controller – Manufacturing &amp; Engineering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CFO / Finance Director (CFO-Track) – EPC / Infrastructure / Industrial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Looking for a Job in (City/Country – multiple possible): 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Malaysia (nationwide – all locations considered)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Education (Degree + (optional) University):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Bachelor of Laws (LL.B.) – Technische Hochschule Köln, Germany (2019)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Associate of Science, Business Management – Northern Virginia Community College, USA (2013)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Work Experience: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Business Controller – Leviat AG (CRH Group), Lyss, Switzerland (May 2024 – present)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Commercial Manager – Julius Berger PLC, Abuja, Nigeria (Nov 2022 – Apr 2024) | USD 67M EPC project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Plant Controller (Operational &amp; Financial Controlling Manager) – PT framas Indonesia, Cikarang (Jun 2019 – Sep 2022) | 3+ years ASEAN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Skills: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SAP S/4HANA (FI, CO, CO-PA), Power BI, Excel VBA &amp; Power Query, Python (financial modelling), SQL, Primavera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IFRS, US GAAP, HGB, EAC/CtC project control, driver-based rolling forecasts (±2% accuracy), KPI dashboard design, flash reporting, Capex &amp; investment analysis, product costing, internal controls (SOX-aligned)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Full P&amp;L ownership, treasury management, cross-functional team leadership (up to 4 direct reports), subcontractor negotiation, audit coordination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Language Skills: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German – Native | English – Fluent (business level) | Bahasa Indonesia – Functional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Bahasa Malaysia – Transfer from Bahasa Indonesia (fast acquisition) | French – A2/B1 (actively developing) | Mandarin – Basic (HSK in progress)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Other Certificates: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CFA Level 2 Candidate – CFA Institute (exam: August 2026)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HSK Level 2 Candidate – Confucius Institute (Mandarin, exam: 2026)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Nationality: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German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Work Permit: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German national; eligible for Malaysian Employment Pass; available for immediate relocation upon offer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What you think a potential employer should know about you: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Senior finance professional with over eight years of progressive international experience spanning manufacturing, EPC project finance, and corporate controlling across four continents. Track record includes full P&amp;L ownership as Plant Controller in Indonesia, commercial management of a USD 67 million infrastructure project in Nigeria, and IFRS/US GAAP reporting within a globally listed group in Switzerland. Consistently delivers rolling forecasts within ±2% accuracy and has coordinated Big 4 external audits with zero findings.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With over three years of hands-on experience in the ASEAN region, a working knowledge of Bahasa Indonesia (directly transferable to Bahasa Malaysia), and a strong affinity for the regional business environment, the transition to Malaysia represents a deliberate and well-founded career objective rather than a speculative move. Open to all locations across Malaysia and available to relocate immediately upon offer.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Currently pursuing the CFA Level 2 designation (examination: August 2026), underscoring a long-term commitment to financial and analytical excellence on a CFO-track trajectory. Particularly well-suited to German or internationally managed organisations seeking a finance leader capable of aligning European governance standards with local operational and regulatory requirements.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*Please send your application to 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memberships@malaysia.ahk.de</w:t>
        </w:r>
      </w:hyperlink>
      <w:r w:rsidDel="00000000" w:rsidR="00000000" w:rsidRPr="00000000">
        <w:rPr>
          <w:rtl w:val="0"/>
        </w:rPr>
        <w:t xml:space="preserve">. Only shortlisted applications that are based in Germany or Malaysia will be considered. Applications with referral from an MGCC member company will be prioritised. </w:t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457575" cy="723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57575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emberships@malaysia.ahk.de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